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0CCF1" w14:textId="520D8F39" w:rsidR="0027545A" w:rsidRPr="00B81E63" w:rsidRDefault="00FB46F1" w:rsidP="00AC6865">
      <w:pPr>
        <w:bidi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 تعمیم نتایج آزمون های نوعی کابل زمینی </w:t>
      </w:r>
      <w:r w:rsidRPr="00B81E63">
        <w:rPr>
          <w:rFonts w:cs="2  Nazanin"/>
          <w:b/>
          <w:bCs/>
          <w:sz w:val="28"/>
          <w:szCs w:val="28"/>
          <w:lang w:bidi="fa-IR"/>
        </w:rPr>
        <w:t>20kv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در روند صدور گواهی ورای ارزیابی </w:t>
      </w:r>
    </w:p>
    <w:p w14:paraId="4072D676" w14:textId="42633E79" w:rsidR="00FB46F1" w:rsidRPr="00B81E63" w:rsidRDefault="00FB46F1" w:rsidP="00AC6865">
      <w:pPr>
        <w:bidi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تعمیم نتایج آزمون های نوعی انواع </w:t>
      </w:r>
      <w:r w:rsidRPr="00B81E63">
        <w:rPr>
          <w:rFonts w:cs="2  Nazanin"/>
          <w:b/>
          <w:bCs/>
          <w:sz w:val="28"/>
          <w:szCs w:val="28"/>
          <w:lang w:bidi="fa-IR"/>
        </w:rPr>
        <w:t>20kv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که تحت استاندارد </w:t>
      </w:r>
      <w:r w:rsidRPr="00B81E63">
        <w:rPr>
          <w:rFonts w:cs="2  Nazanin"/>
          <w:b/>
          <w:bCs/>
          <w:sz w:val="28"/>
          <w:szCs w:val="28"/>
          <w:lang w:bidi="fa-IR"/>
        </w:rPr>
        <w:t>IEC 605002-2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تولید شده باشند، در رویه صدور گواهی شورای ارزیابی و مطابقت با استاندارهای تولید، به شرح زیر می باشد.</w:t>
      </w:r>
    </w:p>
    <w:p w14:paraId="328EC13E" w14:textId="611CD653" w:rsidR="00FB46F1" w:rsidRPr="00B81E63" w:rsidRDefault="00FB46F1" w:rsidP="00B81E63">
      <w:pPr>
        <w:bidi/>
        <w:jc w:val="both"/>
        <w:rPr>
          <w:rFonts w:cs="2  Nazanin"/>
          <w:b/>
          <w:bCs/>
          <w:sz w:val="28"/>
          <w:szCs w:val="28"/>
          <w:lang w:bidi="fa-IR"/>
        </w:rPr>
      </w:pP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کابل زمینی </w:t>
      </w:r>
      <w:r w:rsidRPr="00B81E63">
        <w:rPr>
          <w:rFonts w:cs="2  Nazanin"/>
          <w:b/>
          <w:bCs/>
          <w:sz w:val="28"/>
          <w:szCs w:val="28"/>
          <w:lang w:bidi="fa-IR"/>
        </w:rPr>
        <w:t>MV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با ولتاژ نامی </w:t>
      </w:r>
      <w:r w:rsidRPr="00B81E63">
        <w:rPr>
          <w:rFonts w:cs="2  Nazanin"/>
          <w:b/>
          <w:bCs/>
          <w:sz w:val="28"/>
          <w:szCs w:val="28"/>
          <w:lang w:bidi="fa-IR"/>
        </w:rPr>
        <w:t xml:space="preserve">U=20kv 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طبق استاندارد </w:t>
      </w:r>
      <w:r w:rsidRPr="00B81E63">
        <w:rPr>
          <w:rFonts w:cs="2  Nazanin"/>
          <w:b/>
          <w:bCs/>
          <w:sz w:val="28"/>
          <w:szCs w:val="28"/>
          <w:lang w:bidi="fa-IR"/>
        </w:rPr>
        <w:t>IEC 605002-2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در صورتی که یک نمونه کابل از محصولات یک تولید کننده تحت آزمون های نوعی قرار گرفته و نتیجه مثبت باشد، برای 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>کل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>یه محصولات هم گروه آن نمونه ( مطابق جدول ذیل ) قابل تعمیم است .و همچنین از نظر ولتاژ نامی، استاندارد محصول،</w:t>
      </w:r>
      <w:r w:rsidR="00AC6865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ساختمان، موارد </w:t>
      </w:r>
      <w:r w:rsidR="00B81E63" w:rsidRPr="00B81E63">
        <w:rPr>
          <w:rFonts w:cs="2  Nazanin" w:hint="cs"/>
          <w:b/>
          <w:bCs/>
          <w:sz w:val="28"/>
          <w:szCs w:val="28"/>
          <w:rtl/>
          <w:lang w:bidi="fa-IR"/>
        </w:rPr>
        <w:t>م</w:t>
      </w:r>
      <w:r w:rsidR="00AC6865" w:rsidRPr="00B81E63">
        <w:rPr>
          <w:rFonts w:cs="2  Nazanin" w:hint="cs"/>
          <w:b/>
          <w:bCs/>
          <w:sz w:val="28"/>
          <w:szCs w:val="28"/>
          <w:rtl/>
          <w:lang w:bidi="fa-IR"/>
        </w:rPr>
        <w:t>ورد استفاده در کابل ، روش تولید و جنس هادی</w:t>
      </w:r>
      <w:r w:rsidR="003C4171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، مشابه با نمونه تست شده باشند، نتایج آزمون </w:t>
      </w:r>
      <w:r w:rsidR="00AD2283" w:rsidRPr="00B81E63">
        <w:rPr>
          <w:rFonts w:cs="2  Nazanin" w:hint="cs"/>
          <w:b/>
          <w:bCs/>
          <w:sz w:val="28"/>
          <w:szCs w:val="28"/>
          <w:rtl/>
          <w:lang w:bidi="fa-IR"/>
        </w:rPr>
        <w:t>های نوعی انجام شده، در گواهی صادره، به محصولات مذکور،تعمیم داده می شود. در ضمن نتایج آزمون های کابل چند رشته و کابل آرمور دار به کابل بدون آرمور، با در نظر گرفتن شروط فوق الذکر، قابل تعمیم است .</w:t>
      </w:r>
    </w:p>
    <w:tbl>
      <w:tblPr>
        <w:tblStyle w:val="TableGrid"/>
        <w:bidiVisual/>
        <w:tblW w:w="9345" w:type="dxa"/>
        <w:tblInd w:w="16" w:type="dxa"/>
        <w:tblLook w:val="04A0" w:firstRow="1" w:lastRow="0" w:firstColumn="1" w:lastColumn="0" w:noHBand="0" w:noVBand="1"/>
      </w:tblPr>
      <w:tblGrid>
        <w:gridCol w:w="1073"/>
        <w:gridCol w:w="4664"/>
        <w:gridCol w:w="3608"/>
      </w:tblGrid>
      <w:tr w:rsidR="002846DF" w14:paraId="67363558" w14:textId="491D06A5" w:rsidTr="00B81E63">
        <w:tc>
          <w:tcPr>
            <w:tcW w:w="1073" w:type="dxa"/>
          </w:tcPr>
          <w:p w14:paraId="316D6549" w14:textId="24BFD3F4" w:rsidR="002846DF" w:rsidRDefault="002846DF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32"/>
                <w:szCs w:val="32"/>
                <w:rtl/>
                <w:lang w:bidi="fa-IR"/>
              </w:rPr>
              <w:t>گروه 1</w:t>
            </w:r>
          </w:p>
        </w:tc>
        <w:tc>
          <w:tcPr>
            <w:tcW w:w="4664" w:type="dxa"/>
          </w:tcPr>
          <w:p w14:paraId="4CD374D7" w14:textId="51BEC728" w:rsidR="002846DF" w:rsidRDefault="002846DF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Nazanin" w:hint="cs"/>
                <w:b/>
                <w:bCs/>
                <w:sz w:val="32"/>
                <w:szCs w:val="32"/>
                <w:rtl/>
                <w:lang w:bidi="fa-IR"/>
              </w:rPr>
              <w:t>شامل مقاطع (25 تا 95)</w:t>
            </w:r>
          </w:p>
        </w:tc>
        <w:tc>
          <w:tcPr>
            <w:tcW w:w="3608" w:type="dxa"/>
          </w:tcPr>
          <w:p w14:paraId="7994CDFE" w14:textId="0FB39032" w:rsidR="002846DF" w:rsidRDefault="00000000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lang w:bidi="fa-I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2  Nazanin"/>
                        <w:bCs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25mm</m:t>
                    </m:r>
                  </m:e>
                  <m:sup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2  Nazanin"/>
                    <w:sz w:val="32"/>
                    <w:szCs w:val="32"/>
                    <w:lang w:bidi="fa-I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2  Nazanin"/>
                        <w:bCs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95mm</m:t>
                    </m:r>
                  </m:e>
                  <m:sup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2</m:t>
                    </m:r>
                  </m:sup>
                </m:sSup>
              </m:oMath>
            </m:oMathPara>
          </w:p>
        </w:tc>
      </w:tr>
      <w:tr w:rsidR="002846DF" w14:paraId="2BC591A6" w14:textId="7CDC7467" w:rsidTr="00B81E63">
        <w:tc>
          <w:tcPr>
            <w:tcW w:w="1073" w:type="dxa"/>
          </w:tcPr>
          <w:p w14:paraId="11982D8B" w14:textId="18D28880" w:rsidR="002846DF" w:rsidRDefault="002846DF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32"/>
                <w:szCs w:val="32"/>
                <w:rtl/>
                <w:lang w:bidi="fa-IR"/>
              </w:rPr>
              <w:t>گروه 2</w:t>
            </w:r>
          </w:p>
        </w:tc>
        <w:tc>
          <w:tcPr>
            <w:tcW w:w="4664" w:type="dxa"/>
          </w:tcPr>
          <w:p w14:paraId="1617D7FC" w14:textId="353EB92F" w:rsidR="002846DF" w:rsidRDefault="002846DF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32"/>
                <w:szCs w:val="32"/>
                <w:rtl/>
                <w:lang w:bidi="fa-IR"/>
              </w:rPr>
              <w:t>شامل مقاطع (25 تا 95)</w:t>
            </w:r>
          </w:p>
        </w:tc>
        <w:tc>
          <w:tcPr>
            <w:tcW w:w="3608" w:type="dxa"/>
          </w:tcPr>
          <w:p w14:paraId="306A91C0" w14:textId="15EC6E01" w:rsidR="002846DF" w:rsidRDefault="00000000" w:rsidP="008B69FD">
            <w:pPr>
              <w:bidi/>
              <w:jc w:val="both"/>
              <w:rPr>
                <w:rFonts w:cs="2  Nazanin"/>
                <w:b/>
                <w:bCs/>
                <w:sz w:val="32"/>
                <w:szCs w:val="32"/>
                <w:rtl/>
                <w:lang w:bidi="fa-I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2  Nazanin"/>
                        <w:bCs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95mm</m:t>
                    </m:r>
                  </m:e>
                  <m:sup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2  Nazanin"/>
                    <w:sz w:val="32"/>
                    <w:szCs w:val="32"/>
                    <w:lang w:bidi="fa-I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2  Nazanin"/>
                        <w:bCs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630mm</m:t>
                    </m:r>
                  </m:e>
                  <m:sup>
                    <m:r>
                      <w:rPr>
                        <w:rFonts w:ascii="Cambria Math" w:hAnsi="Cambria Math" w:cs="2  Nazanin"/>
                        <w:sz w:val="32"/>
                        <w:szCs w:val="32"/>
                        <w:lang w:bidi="fa-IR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5AF3EA2C" w14:textId="22A661A4" w:rsidR="00AD2283" w:rsidRDefault="00AD2283" w:rsidP="008B69FD">
      <w:pPr>
        <w:bidi/>
        <w:ind w:left="360"/>
        <w:jc w:val="both"/>
        <w:rPr>
          <w:rFonts w:cs="2  Nazanin"/>
          <w:b/>
          <w:bCs/>
          <w:sz w:val="32"/>
          <w:szCs w:val="32"/>
          <w:lang w:bidi="fa-IR"/>
        </w:rPr>
      </w:pPr>
    </w:p>
    <w:p w14:paraId="74E95217" w14:textId="79D08B0F" w:rsidR="008B69FD" w:rsidRPr="00B81E63" w:rsidRDefault="002846DF" w:rsidP="00B81E63">
      <w:pPr>
        <w:bidi/>
        <w:jc w:val="both"/>
        <w:rPr>
          <w:rFonts w:cs="2  Nazanin"/>
          <w:b/>
          <w:bCs/>
          <w:sz w:val="28"/>
          <w:szCs w:val="28"/>
          <w:rtl/>
          <w:lang w:bidi="fa-IR"/>
        </w:rPr>
      </w:pP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>مثال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: 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در صورتی که یک نمونه کابل </w:t>
      </w:r>
      <m:oMath>
        <m:sSup>
          <m:sSupPr>
            <m:ctrlPr>
              <w:rPr>
                <w:rFonts w:ascii="Cambria Math" w:hAnsi="Cambria Math" w:cs="2  Nazanin"/>
                <w:b/>
                <w:bCs/>
                <w:sz w:val="28"/>
                <w:szCs w:val="28"/>
                <w:lang w:bidi="fa-IR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50</m:t>
            </m:r>
            <m:r>
              <m:rPr>
                <m:sty m:val="bi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mm</m:t>
            </m:r>
          </m:e>
          <m:sup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2</m:t>
            </m:r>
          </m:sup>
        </m:sSup>
      </m:oMath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رده </w:t>
      </w:r>
      <w:r w:rsidRPr="00B81E63">
        <w:rPr>
          <w:rFonts w:cs="2  Nazanin"/>
          <w:b/>
          <w:bCs/>
          <w:sz w:val="28"/>
          <w:szCs w:val="28"/>
          <w:lang w:bidi="fa-IR"/>
        </w:rPr>
        <w:t>20kv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بدون آرمور با هادی مسی و عایق و روکش </w:t>
      </w:r>
      <w:r w:rsidR="008B69FD" w:rsidRPr="00B81E63">
        <w:rPr>
          <w:rFonts w:cs="2  Nazanin"/>
          <w:b/>
          <w:bCs/>
          <w:sz w:val="28"/>
          <w:szCs w:val="28"/>
          <w:lang w:bidi="fa-IR"/>
        </w:rPr>
        <w:t>PVC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Pr="00B81E63">
        <w:rPr>
          <w:rFonts w:cs="2  Nazanin" w:hint="cs"/>
          <w:b/>
          <w:bCs/>
          <w:sz w:val="28"/>
          <w:szCs w:val="28"/>
          <w:rtl/>
          <w:lang w:bidi="fa-IR"/>
        </w:rPr>
        <w:t>، تولید شده توسط یک تولیدکننده مطابق استاندارد</w:t>
      </w:r>
      <w:r w:rsid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B81E63" w:rsidRPr="00B81E63">
        <w:rPr>
          <w:rFonts w:cs="2  Nazanin"/>
          <w:b/>
          <w:bCs/>
          <w:sz w:val="28"/>
          <w:szCs w:val="28"/>
          <w:lang w:bidi="fa-IR"/>
        </w:rPr>
        <w:t xml:space="preserve">IEC 605002-1 </w:t>
      </w:r>
      <w:r w:rsidR="00B81E63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، تحت آزمون های نوعی قرار گرفته</w:t>
      </w:r>
      <w:r w:rsid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و نتیجه آزمون ها مثبت باشد، در گواهی صادره، علاوه بر درج عنوان نمونه مورد آزمون، نتایج به کلیه کابل های </w:t>
      </w:r>
      <w:r w:rsidR="008B69FD" w:rsidRPr="00B81E63">
        <w:rPr>
          <w:rFonts w:cs="2  Nazanin"/>
          <w:b/>
          <w:bCs/>
          <w:sz w:val="28"/>
          <w:szCs w:val="28"/>
          <w:lang w:bidi="fa-IR"/>
        </w:rPr>
        <w:t>20kv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بدون آرمور تک رشته با هادی مسی و عایق و روکش </w:t>
      </w:r>
      <w:r w:rsidR="008B69FD" w:rsidRPr="00B81E63">
        <w:rPr>
          <w:rFonts w:cs="2  Nazanin"/>
          <w:b/>
          <w:bCs/>
          <w:sz w:val="28"/>
          <w:szCs w:val="28"/>
          <w:lang w:bidi="fa-IR"/>
        </w:rPr>
        <w:t>PVC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با مقطع </w:t>
      </w:r>
      <m:oMath>
        <m:sSup>
          <m:sSupPr>
            <m:ctrlPr>
              <w:rPr>
                <w:rFonts w:ascii="Cambria Math" w:hAnsi="Cambria Math" w:cs="2  Nazanin"/>
                <w:b/>
                <w:bCs/>
                <w:sz w:val="28"/>
                <w:szCs w:val="28"/>
                <w:lang w:bidi="fa-IR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25</m:t>
            </m:r>
            <m:r>
              <m:rPr>
                <m:sty m:val="bi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mm</m:t>
            </m:r>
          </m:e>
          <m:sup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2</m:t>
            </m:r>
          </m:sup>
        </m:sSup>
      </m:oMath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تا </w:t>
      </w:r>
      <m:oMath>
        <m:sSup>
          <m:sSupPr>
            <m:ctrlPr>
              <w:rPr>
                <w:rFonts w:ascii="Cambria Math" w:hAnsi="Cambria Math" w:cs="2  Nazanin"/>
                <w:b/>
                <w:bCs/>
                <w:sz w:val="28"/>
                <w:szCs w:val="28"/>
                <w:lang w:bidi="fa-IR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95</m:t>
            </m:r>
            <m:r>
              <m:rPr>
                <m:sty m:val="bi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mm</m:t>
            </m:r>
          </m:e>
          <m:sup>
            <m:r>
              <m:rPr>
                <m:sty m:val="b"/>
              </m:rPr>
              <w:rPr>
                <w:rFonts w:ascii="Cambria Math" w:hAnsi="Cambria Math" w:cs="2  Nazanin"/>
                <w:sz w:val="28"/>
                <w:szCs w:val="28"/>
                <w:lang w:bidi="fa-IR"/>
              </w:rPr>
              <m:t>2</m:t>
            </m:r>
          </m:sup>
        </m:sSup>
      </m:oMath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آن تولید کننده که مطابق استاندارد  </w:t>
      </w:r>
      <w:r w:rsidR="008B69FD" w:rsidRPr="00B81E63">
        <w:rPr>
          <w:rFonts w:cs="2  Nazanin"/>
          <w:b/>
          <w:bCs/>
          <w:sz w:val="28"/>
          <w:szCs w:val="28"/>
          <w:lang w:bidi="fa-IR"/>
        </w:rPr>
        <w:t xml:space="preserve">IEC 605002-1 </w:t>
      </w:r>
      <w:r w:rsidR="008B69FD" w:rsidRPr="00B81E63">
        <w:rPr>
          <w:rFonts w:cs="2  Nazanin" w:hint="cs"/>
          <w:b/>
          <w:bCs/>
          <w:sz w:val="28"/>
          <w:szCs w:val="28"/>
          <w:rtl/>
          <w:lang w:bidi="fa-IR"/>
        </w:rPr>
        <w:t xml:space="preserve"> تولید شده اند، تعمیم داده می شود.</w:t>
      </w:r>
    </w:p>
    <w:p w14:paraId="6AECAD0A" w14:textId="522CBD53" w:rsidR="002846DF" w:rsidRPr="00AD2283" w:rsidRDefault="002846DF" w:rsidP="008B69FD">
      <w:pPr>
        <w:bidi/>
        <w:ind w:left="360"/>
        <w:jc w:val="both"/>
        <w:rPr>
          <w:rFonts w:cs="2  Nazanin"/>
          <w:b/>
          <w:bCs/>
          <w:sz w:val="32"/>
          <w:szCs w:val="32"/>
          <w:rtl/>
          <w:lang w:bidi="fa-IR"/>
        </w:rPr>
      </w:pPr>
    </w:p>
    <w:sectPr w:rsidR="002846DF" w:rsidRPr="00AD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1DEB7" w14:textId="77777777" w:rsidR="00990AD8" w:rsidRDefault="00990AD8" w:rsidP="00AC6865">
      <w:pPr>
        <w:spacing w:after="0" w:line="240" w:lineRule="auto"/>
      </w:pPr>
      <w:r>
        <w:separator/>
      </w:r>
    </w:p>
  </w:endnote>
  <w:endnote w:type="continuationSeparator" w:id="0">
    <w:p w14:paraId="1E02B739" w14:textId="77777777" w:rsidR="00990AD8" w:rsidRDefault="00990AD8" w:rsidP="00AC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9D5ED" w14:textId="77777777" w:rsidR="00990AD8" w:rsidRDefault="00990AD8" w:rsidP="00AC6865">
      <w:pPr>
        <w:spacing w:after="0" w:line="240" w:lineRule="auto"/>
      </w:pPr>
      <w:r>
        <w:separator/>
      </w:r>
    </w:p>
  </w:footnote>
  <w:footnote w:type="continuationSeparator" w:id="0">
    <w:p w14:paraId="73531C82" w14:textId="77777777" w:rsidR="00990AD8" w:rsidRDefault="00990AD8" w:rsidP="00AC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B49A0"/>
    <w:multiLevelType w:val="hybridMultilevel"/>
    <w:tmpl w:val="C010AE22"/>
    <w:lvl w:ilvl="0" w:tplc="8D06B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5A"/>
    <w:rsid w:val="0027545A"/>
    <w:rsid w:val="002846DF"/>
    <w:rsid w:val="003C4171"/>
    <w:rsid w:val="0061574E"/>
    <w:rsid w:val="008B69FD"/>
    <w:rsid w:val="00990AD8"/>
    <w:rsid w:val="00AC6865"/>
    <w:rsid w:val="00AD2283"/>
    <w:rsid w:val="00B81E63"/>
    <w:rsid w:val="00CE5C71"/>
    <w:rsid w:val="00F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1CA2"/>
  <w15:chartTrackingRefBased/>
  <w15:docId w15:val="{339805DC-6F39-4BD1-9B10-608B623F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65"/>
  </w:style>
  <w:style w:type="paragraph" w:styleId="Footer">
    <w:name w:val="footer"/>
    <w:basedOn w:val="Normal"/>
    <w:link w:val="FooterChar"/>
    <w:uiPriority w:val="99"/>
    <w:unhideWhenUsed/>
    <w:rsid w:val="00AC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65"/>
  </w:style>
  <w:style w:type="table" w:styleId="TableGrid">
    <w:name w:val="Table Grid"/>
    <w:basedOn w:val="TableNormal"/>
    <w:uiPriority w:val="39"/>
    <w:rsid w:val="00A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46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Jalali</dc:creator>
  <cp:keywords/>
  <dc:description/>
  <cp:lastModifiedBy>Alireza Dehghani</cp:lastModifiedBy>
  <cp:revision>2</cp:revision>
  <dcterms:created xsi:type="dcterms:W3CDTF">2024-11-11T05:38:00Z</dcterms:created>
  <dcterms:modified xsi:type="dcterms:W3CDTF">2024-11-11T05:38:00Z</dcterms:modified>
</cp:coreProperties>
</file>